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D90" w:rsidRDefault="004A1D90" w:rsidP="00E87E3F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lang w:val="es-ES"/>
        </w:rPr>
      </w:pPr>
      <w:bookmarkStart w:id="0" w:name="_GoBack"/>
      <w:bookmarkEnd w:id="0"/>
    </w:p>
    <w:p w:rsidR="00FA6A96" w:rsidRDefault="00FA6A96" w:rsidP="00E87E3F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lang w:val="es-ES"/>
        </w:rPr>
      </w:pPr>
    </w:p>
    <w:p w:rsidR="00E87E3F" w:rsidRDefault="00E87E3F" w:rsidP="00E87E3F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lang w:val="es-ES"/>
        </w:rPr>
      </w:pPr>
      <w:r>
        <w:rPr>
          <w:rFonts w:ascii="Times New Roman" w:hAnsi="Times New Roman" w:cs="Times New Roman"/>
          <w:b/>
          <w:bCs/>
          <w:lang w:val="es-ES"/>
        </w:rPr>
        <w:t xml:space="preserve">PROPOSICIÓN </w:t>
      </w:r>
      <w:r w:rsidR="009279DD">
        <w:rPr>
          <w:rFonts w:ascii="Times New Roman" w:hAnsi="Times New Roman" w:cs="Times New Roman"/>
          <w:b/>
          <w:bCs/>
          <w:lang w:val="es-ES"/>
        </w:rPr>
        <w:t>QUE ADICIONA</w:t>
      </w:r>
    </w:p>
    <w:p w:rsidR="00E671D0" w:rsidRDefault="00E671D0" w:rsidP="00E87E3F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lang w:val="es-ES"/>
        </w:rPr>
      </w:pPr>
    </w:p>
    <w:p w:rsidR="00E87E3F" w:rsidRDefault="00E87E3F" w:rsidP="00E87E3F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lang w:val="es-ES"/>
        </w:rPr>
      </w:pPr>
      <w:r>
        <w:rPr>
          <w:rFonts w:ascii="Times New Roman" w:hAnsi="Times New Roman" w:cs="Times New Roman"/>
          <w:b/>
          <w:bCs/>
          <w:lang w:val="es-ES"/>
        </w:rPr>
        <w:t xml:space="preserve"> </w:t>
      </w:r>
    </w:p>
    <w:p w:rsidR="00E87E3F" w:rsidRDefault="00B24F84" w:rsidP="00E87E3F">
      <w:pPr>
        <w:pStyle w:val="Default"/>
        <w:spacing w:line="276" w:lineRule="auto"/>
        <w:jc w:val="both"/>
        <w:rPr>
          <w:rFonts w:ascii="Times New Roman" w:hAnsi="Times New Roman" w:cs="Times New Roman"/>
          <w:bCs/>
          <w:lang w:val="es-ES"/>
        </w:rPr>
      </w:pPr>
      <w:r>
        <w:rPr>
          <w:rFonts w:ascii="Times New Roman" w:hAnsi="Times New Roman" w:cs="Times New Roman"/>
          <w:b/>
          <w:bCs/>
          <w:lang w:val="es-ES"/>
        </w:rPr>
        <w:t>Adiciónese</w:t>
      </w:r>
      <w:r w:rsidR="00E87E3F">
        <w:rPr>
          <w:rFonts w:ascii="Times New Roman" w:hAnsi="Times New Roman" w:cs="Times New Roman"/>
          <w:b/>
          <w:bCs/>
          <w:lang w:val="es-ES"/>
        </w:rPr>
        <w:t xml:space="preserve"> </w:t>
      </w:r>
      <w:r w:rsidR="007C4AE9">
        <w:rPr>
          <w:rFonts w:ascii="Times New Roman" w:hAnsi="Times New Roman" w:cs="Times New Roman"/>
          <w:b/>
          <w:bCs/>
          <w:lang w:val="es-ES"/>
        </w:rPr>
        <w:t>con dos parágrafos el</w:t>
      </w:r>
      <w:r w:rsidR="00E87E3F" w:rsidRPr="00E87E3F">
        <w:rPr>
          <w:rFonts w:ascii="Times New Roman" w:hAnsi="Times New Roman" w:cs="Times New Roman"/>
          <w:bCs/>
          <w:lang w:val="es-ES"/>
        </w:rPr>
        <w:t xml:space="preserve"> </w:t>
      </w:r>
      <w:r w:rsidR="00E87E3F" w:rsidRPr="007C4AE9">
        <w:rPr>
          <w:rFonts w:ascii="Times New Roman" w:hAnsi="Times New Roman" w:cs="Times New Roman"/>
          <w:b/>
          <w:bCs/>
          <w:lang w:val="es-ES"/>
        </w:rPr>
        <w:t xml:space="preserve">artículo </w:t>
      </w:r>
      <w:r w:rsidRPr="007C4AE9">
        <w:rPr>
          <w:rFonts w:ascii="Times New Roman" w:hAnsi="Times New Roman" w:cs="Times New Roman"/>
          <w:b/>
          <w:bCs/>
          <w:lang w:val="es-ES"/>
        </w:rPr>
        <w:t>10</w:t>
      </w:r>
      <w:r w:rsidR="00E87E3F" w:rsidRPr="00E87E3F">
        <w:rPr>
          <w:rFonts w:ascii="Times New Roman" w:hAnsi="Times New Roman" w:cs="Times New Roman"/>
          <w:bCs/>
          <w:lang w:val="es-ES"/>
        </w:rPr>
        <w:t xml:space="preserve"> del </w:t>
      </w:r>
      <w:r w:rsidR="00E87E3F" w:rsidRPr="004F7E86">
        <w:rPr>
          <w:rFonts w:ascii="Times New Roman" w:hAnsi="Times New Roman" w:cs="Times New Roman"/>
          <w:b/>
          <w:bCs/>
          <w:lang w:val="es-ES"/>
        </w:rPr>
        <w:t xml:space="preserve">PROYECTO DE LEY </w:t>
      </w:r>
      <w:r w:rsidR="009279DD">
        <w:rPr>
          <w:rFonts w:ascii="Times New Roman" w:hAnsi="Times New Roman" w:cs="Times New Roman"/>
          <w:b/>
          <w:bCs/>
          <w:lang w:val="es-ES"/>
        </w:rPr>
        <w:t xml:space="preserve">ESTATUTARIA </w:t>
      </w:r>
      <w:r w:rsidR="00E87E3F" w:rsidRPr="004F7E86">
        <w:rPr>
          <w:rFonts w:ascii="Times New Roman" w:hAnsi="Times New Roman" w:cs="Times New Roman"/>
          <w:b/>
          <w:bCs/>
          <w:lang w:val="es-ES"/>
        </w:rPr>
        <w:t xml:space="preserve">NÚMERO 314 DE 2019 Y CÁMARA Y 062 DE 2019 SENADO “por medio de la cual se modifica y adiciona la Ley Estatutaria 1266 de 2008, y se dictan otras disposiciones generales del habeas data con relación </w:t>
      </w:r>
      <w:r w:rsidR="004F7E86" w:rsidRPr="004F7E86">
        <w:rPr>
          <w:rFonts w:ascii="Times New Roman" w:hAnsi="Times New Roman" w:cs="Times New Roman"/>
          <w:b/>
          <w:bCs/>
          <w:lang w:val="es-ES"/>
        </w:rPr>
        <w:t>a la información financiera, crediticia, comercial</w:t>
      </w:r>
      <w:r w:rsidR="009279DD">
        <w:rPr>
          <w:rFonts w:ascii="Times New Roman" w:hAnsi="Times New Roman" w:cs="Times New Roman"/>
          <w:b/>
          <w:bCs/>
          <w:lang w:val="es-ES"/>
        </w:rPr>
        <w:t>,</w:t>
      </w:r>
      <w:r w:rsidR="004F7E86" w:rsidRPr="004F7E86">
        <w:rPr>
          <w:rFonts w:ascii="Times New Roman" w:hAnsi="Times New Roman" w:cs="Times New Roman"/>
          <w:b/>
          <w:bCs/>
          <w:lang w:val="es-ES"/>
        </w:rPr>
        <w:t xml:space="preserve"> de servicios y la proveniente de terceros países y se dictan otras disposiciones”</w:t>
      </w:r>
      <w:r w:rsidR="004F7E86">
        <w:rPr>
          <w:rFonts w:ascii="Times New Roman" w:hAnsi="Times New Roman" w:cs="Times New Roman"/>
          <w:bCs/>
          <w:lang w:val="es-ES"/>
        </w:rPr>
        <w:t xml:space="preserve">, el cual quedara </w:t>
      </w:r>
      <w:r w:rsidR="009279DD">
        <w:rPr>
          <w:rFonts w:ascii="Times New Roman" w:hAnsi="Times New Roman" w:cs="Times New Roman"/>
          <w:bCs/>
          <w:lang w:val="es-ES"/>
        </w:rPr>
        <w:t>así</w:t>
      </w:r>
      <w:r w:rsidR="004F7E86">
        <w:rPr>
          <w:rFonts w:ascii="Times New Roman" w:hAnsi="Times New Roman" w:cs="Times New Roman"/>
          <w:bCs/>
          <w:lang w:val="es-ES"/>
        </w:rPr>
        <w:t>:</w:t>
      </w:r>
    </w:p>
    <w:p w:rsidR="004F7E86" w:rsidRPr="00E87E3F" w:rsidRDefault="004F7E86" w:rsidP="00E87E3F">
      <w:pPr>
        <w:pStyle w:val="Default"/>
        <w:spacing w:line="276" w:lineRule="auto"/>
        <w:jc w:val="both"/>
        <w:rPr>
          <w:rFonts w:ascii="Times New Roman" w:hAnsi="Times New Roman" w:cs="Times New Roman"/>
          <w:bCs/>
          <w:lang w:val="es-ES"/>
        </w:rPr>
      </w:pPr>
    </w:p>
    <w:p w:rsidR="009279DD" w:rsidRDefault="009279DD" w:rsidP="00B24F84">
      <w:pPr>
        <w:pStyle w:val="Textocomentario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:rsidR="00B24F84" w:rsidRDefault="00B24F84" w:rsidP="00B24F84">
      <w:pPr>
        <w:pStyle w:val="Textocomentario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F7482">
        <w:rPr>
          <w:rFonts w:ascii="Times New Roman" w:hAnsi="Times New Roman" w:cs="Times New Roman"/>
          <w:b/>
          <w:bCs/>
          <w:sz w:val="24"/>
          <w:szCs w:val="24"/>
          <w:lang w:val="es-ES"/>
        </w:rPr>
        <w:t>Artículo 10</w:t>
      </w:r>
      <w:r w:rsidRPr="00601F0E">
        <w:rPr>
          <w:rFonts w:ascii="Times New Roman" w:hAnsi="Times New Roman" w:cs="Times New Roman"/>
          <w:b/>
          <w:bCs/>
          <w:sz w:val="24"/>
          <w:szCs w:val="24"/>
        </w:rPr>
        <w:t>°</w:t>
      </w:r>
      <w:r w:rsidRPr="003F7482">
        <w:rPr>
          <w:rFonts w:ascii="Times New Roman" w:hAnsi="Times New Roman" w:cs="Times New Roman"/>
          <w:b/>
          <w:bCs/>
          <w:sz w:val="24"/>
          <w:szCs w:val="24"/>
          <w:lang w:val="es-ES"/>
        </w:rPr>
        <w:t>.</w:t>
      </w:r>
      <w:r w:rsidRPr="003F74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871444">
        <w:rPr>
          <w:rFonts w:ascii="Times New Roman" w:hAnsi="Times New Roman" w:cs="Times New Roman"/>
          <w:i/>
          <w:iCs/>
          <w:sz w:val="24"/>
          <w:szCs w:val="24"/>
          <w:lang w:val="es-ES"/>
        </w:rPr>
        <w:t>Régimen de transición.</w:t>
      </w:r>
      <w:r w:rsidRPr="003F7482">
        <w:rPr>
          <w:rFonts w:ascii="Times New Roman" w:hAnsi="Times New Roman" w:cs="Times New Roman"/>
          <w:sz w:val="24"/>
          <w:szCs w:val="24"/>
          <w:lang w:val="es-ES"/>
        </w:rPr>
        <w:t xml:space="preserve"> Los titulares de la información que</w:t>
      </w:r>
      <w:r w:rsidRPr="003E4B04"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3F7482">
        <w:rPr>
          <w:rFonts w:ascii="Times New Roman" w:hAnsi="Times New Roman" w:cs="Times New Roman"/>
          <w:sz w:val="24"/>
          <w:szCs w:val="24"/>
          <w:lang w:val="es-ES"/>
        </w:rPr>
        <w:t xml:space="preserve"> a la entrada en vigencia de esta ley hubieran cancelado sus obligaciones objeto de reporte y cuya información negativa hubiere permanecido en los Bancos de Datos por lo menos seis (6) meses contados a partir de la extinción de las obligaciones, serán beneficiarios de la caducidad inmediata de la información negativa.</w:t>
      </w:r>
    </w:p>
    <w:p w:rsidR="00B24F84" w:rsidRDefault="00B24F84" w:rsidP="00B24F84">
      <w:pPr>
        <w:pStyle w:val="Textocomentario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F74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AC2BEA">
        <w:rPr>
          <w:rFonts w:ascii="Times New Roman" w:hAnsi="Times New Roman" w:cs="Times New Roman"/>
          <w:sz w:val="24"/>
          <w:szCs w:val="24"/>
          <w:lang w:val="es-ES"/>
        </w:rPr>
        <w:t>Los titulares que cancelen sus obligaciones objeto de reporte, cuya información negativa no hubiere permanecido en los Bancos de Datos al menos seis (6) meses</w:t>
      </w:r>
      <w:r w:rsidRPr="003E4B04"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AC2B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5E75D1">
        <w:rPr>
          <w:rFonts w:ascii="Times New Roman" w:hAnsi="Times New Roman" w:cs="Times New Roman"/>
          <w:sz w:val="24"/>
          <w:szCs w:val="24"/>
          <w:lang w:val="es-ES"/>
        </w:rPr>
        <w:t xml:space="preserve">después de la extinción de obligaciones, permanecerán con dicha información negativa por el tiempo que les hiciere falta </w:t>
      </w:r>
      <w:r>
        <w:rPr>
          <w:rFonts w:ascii="Times New Roman" w:hAnsi="Times New Roman" w:cs="Times New Roman"/>
          <w:sz w:val="24"/>
          <w:szCs w:val="24"/>
          <w:lang w:val="es-ES"/>
        </w:rPr>
        <w:t>para cumplir los seis (6) meses</w:t>
      </w:r>
      <w:r w:rsidRPr="005E75D1">
        <w:rPr>
          <w:rFonts w:ascii="Times New Roman" w:hAnsi="Times New Roman" w:cs="Times New Roman"/>
          <w:sz w:val="24"/>
          <w:szCs w:val="24"/>
          <w:lang w:val="es-ES"/>
        </w:rPr>
        <w:t xml:space="preserve"> contados a partir de la extinción de las obligaciones</w:t>
      </w:r>
      <w:r w:rsidRPr="00AC2BEA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B24F84" w:rsidRDefault="00B24F84" w:rsidP="00B24F84">
      <w:pPr>
        <w:pStyle w:val="Textocomentario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F7482">
        <w:rPr>
          <w:rFonts w:ascii="Times New Roman" w:hAnsi="Times New Roman" w:cs="Times New Roman"/>
          <w:sz w:val="24"/>
          <w:szCs w:val="24"/>
          <w:lang w:val="es-ES"/>
        </w:rPr>
        <w:t xml:space="preserve">En el caso de que las obligaciones registren mora inferior a seis (6) meses, la información negativa permanecerá por el mismo tiempo de mora, contado a partir de la extinción de las obligaciones. </w:t>
      </w:r>
      <w:r w:rsidRPr="00AC2BEA">
        <w:rPr>
          <w:rFonts w:ascii="Times New Roman" w:hAnsi="Times New Roman" w:cs="Times New Roman"/>
          <w:sz w:val="24"/>
          <w:szCs w:val="24"/>
          <w:lang w:val="es-ES"/>
        </w:rPr>
        <w:t xml:space="preserve">Los titulares de la información que cancelen sus obligaciones objeto de reporte dentro de los seis (6) meses siguientes a la entrada en vigencia de la presente ley, permanecerán con dicha información </w:t>
      </w:r>
      <w:r w:rsidRPr="00BE764B">
        <w:rPr>
          <w:rFonts w:ascii="Times New Roman" w:hAnsi="Times New Roman" w:cs="Times New Roman"/>
          <w:sz w:val="24"/>
          <w:szCs w:val="24"/>
          <w:lang w:val="es-ES"/>
        </w:rPr>
        <w:t>negativa en los Bancos de Datos</w:t>
      </w:r>
      <w:r w:rsidRPr="00AC2BEA">
        <w:rPr>
          <w:rFonts w:ascii="Times New Roman" w:hAnsi="Times New Roman" w:cs="Times New Roman"/>
          <w:sz w:val="24"/>
          <w:szCs w:val="24"/>
          <w:lang w:val="es-ES"/>
        </w:rPr>
        <w:t xml:space="preserve"> por el término máximo de seis (6) meses contados a partir de la fecha de extinción de tales obligaciones. Cumplido </w:t>
      </w:r>
      <w:r w:rsidRPr="00BE764B">
        <w:rPr>
          <w:rFonts w:ascii="Times New Roman" w:hAnsi="Times New Roman" w:cs="Times New Roman"/>
          <w:sz w:val="24"/>
          <w:szCs w:val="24"/>
          <w:lang w:val="es-ES"/>
        </w:rPr>
        <w:t>este plazo de máximo seis (6) meses</w:t>
      </w:r>
      <w:r w:rsidRPr="00AC2BEA">
        <w:rPr>
          <w:rFonts w:ascii="Times New Roman" w:hAnsi="Times New Roman" w:cs="Times New Roman"/>
          <w:sz w:val="24"/>
          <w:szCs w:val="24"/>
          <w:lang w:val="es-ES"/>
        </w:rPr>
        <w:t>, el dato negativo deberá ser retirado automáticamente de los Bancos de Datos.</w:t>
      </w:r>
    </w:p>
    <w:p w:rsidR="00B24F84" w:rsidRDefault="00B24F84" w:rsidP="00B24F84">
      <w:pPr>
        <w:pStyle w:val="Textocomentario"/>
        <w:tabs>
          <w:tab w:val="left" w:pos="171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B24F84" w:rsidRDefault="00B24F84" w:rsidP="00B24F84">
      <w:pPr>
        <w:pStyle w:val="Textocomentario"/>
        <w:tabs>
          <w:tab w:val="left" w:pos="171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</w:pPr>
      <w:r w:rsidRPr="00B24F84">
        <w:rPr>
          <w:rFonts w:ascii="Times New Roman" w:hAnsi="Times New Roman" w:cs="Times New Roman"/>
          <w:b/>
          <w:sz w:val="24"/>
          <w:szCs w:val="24"/>
          <w:lang w:val="es-ES"/>
        </w:rPr>
        <w:t>Parágrafo</w:t>
      </w:r>
      <w:r w:rsidR="007C4AE9">
        <w:rPr>
          <w:rFonts w:ascii="Times New Roman" w:hAnsi="Times New Roman" w:cs="Times New Roman"/>
          <w:b/>
          <w:sz w:val="24"/>
          <w:szCs w:val="24"/>
          <w:lang w:val="es-ES"/>
        </w:rPr>
        <w:t xml:space="preserve"> 1</w:t>
      </w:r>
      <w:r w:rsidRPr="00B24F84">
        <w:rPr>
          <w:rFonts w:ascii="Times New Roman" w:hAnsi="Times New Roman" w:cs="Times New Roman"/>
          <w:b/>
          <w:sz w:val="24"/>
          <w:szCs w:val="24"/>
          <w:lang w:val="es-ES"/>
        </w:rPr>
        <w:t xml:space="preserve">: </w:t>
      </w:r>
      <w:r w:rsidRPr="00B24F84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Para los pequeños productores del sector de agropecuario, que cancelen sus obligaciones objeto de reporte dentro de los seis (6) meses siguientes a la entrada en vigencia de la presente ley, se les eliminará inmediatamente dicha información negativa en los Bancos de Datos, el dato negativo será retirado inm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ediatamente.</w:t>
      </w:r>
    </w:p>
    <w:p w:rsidR="00B24F84" w:rsidRDefault="00B24F84" w:rsidP="00B24F84">
      <w:pPr>
        <w:pStyle w:val="Textocomentario"/>
        <w:tabs>
          <w:tab w:val="left" w:pos="171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</w:pPr>
    </w:p>
    <w:p w:rsidR="007C4AE9" w:rsidRDefault="007C4AE9" w:rsidP="00B24F84">
      <w:pPr>
        <w:pStyle w:val="Textocomentario"/>
        <w:tabs>
          <w:tab w:val="left" w:pos="171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</w:pPr>
    </w:p>
    <w:p w:rsidR="007C4AE9" w:rsidRDefault="007C4AE9" w:rsidP="00B24F84">
      <w:pPr>
        <w:pStyle w:val="Textocomentario"/>
        <w:tabs>
          <w:tab w:val="left" w:pos="171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</w:pPr>
    </w:p>
    <w:p w:rsidR="00B24F84" w:rsidRDefault="007C4AE9" w:rsidP="00B24F84">
      <w:pPr>
        <w:pStyle w:val="Textocomentario"/>
        <w:tabs>
          <w:tab w:val="left" w:pos="171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 xml:space="preserve">Parágrafo 2: Para quienes representan el sector de turismo, </w:t>
      </w:r>
      <w:r w:rsidRPr="00B24F84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que cancelen sus obligaciones objeto de reporte dentro de los seis (6) meses siguientes a la entrada en vigencia de la presente ley, se les eliminará inmediatamente dicha información negativa en los Bancos de Datos, el dato negativo será retirado inm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ediatamente</w:t>
      </w:r>
    </w:p>
    <w:p w:rsidR="00B24F84" w:rsidRDefault="00B24F84" w:rsidP="00B24F84">
      <w:pPr>
        <w:pStyle w:val="Textocomentario"/>
        <w:tabs>
          <w:tab w:val="left" w:pos="171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</w:pPr>
    </w:p>
    <w:p w:rsidR="00B24F84" w:rsidRDefault="00B24F84" w:rsidP="00B24F84">
      <w:pPr>
        <w:pStyle w:val="Textocomentario"/>
        <w:tabs>
          <w:tab w:val="left" w:pos="171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</w:pPr>
    </w:p>
    <w:p w:rsidR="00B24F84" w:rsidRDefault="00B24F84" w:rsidP="00B24F84">
      <w:pPr>
        <w:pStyle w:val="Textocomentario"/>
        <w:tabs>
          <w:tab w:val="left" w:pos="1710"/>
        </w:tabs>
        <w:spacing w:line="276" w:lineRule="auto"/>
        <w:jc w:val="both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i/>
          <w:iCs/>
          <w:lang w:val="es-ES"/>
        </w:rPr>
        <w:t xml:space="preserve"> </w:t>
      </w:r>
    </w:p>
    <w:p w:rsidR="00BC2D5F" w:rsidRDefault="00E87E3F">
      <w:r>
        <w:t>Atentamente;</w:t>
      </w:r>
    </w:p>
    <w:p w:rsidR="00E87E3F" w:rsidRDefault="009279DD">
      <w:r>
        <w:rPr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324BD2A0" wp14:editId="21DC2130">
            <wp:simplePos x="0" y="0"/>
            <wp:positionH relativeFrom="column">
              <wp:posOffset>-89535</wp:posOffset>
            </wp:positionH>
            <wp:positionV relativeFrom="paragraph">
              <wp:posOffset>13335</wp:posOffset>
            </wp:positionV>
            <wp:extent cx="2238375" cy="904875"/>
            <wp:effectExtent l="0" t="0" r="9525" b="952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7E3F" w:rsidRDefault="00E87E3F"/>
    <w:p w:rsidR="00E87E3F" w:rsidRDefault="00E87E3F"/>
    <w:p w:rsidR="00E87E3F" w:rsidRDefault="00E87E3F" w:rsidP="00E87E3F">
      <w:pPr>
        <w:spacing w:after="0" w:line="240" w:lineRule="auto"/>
        <w:rPr>
          <w:b/>
        </w:rPr>
      </w:pPr>
      <w:r>
        <w:rPr>
          <w:b/>
        </w:rPr>
        <w:t>ÁLVARO HERNÁN PRADA ARTUNDUAGA</w:t>
      </w:r>
    </w:p>
    <w:p w:rsidR="00E87E3F" w:rsidRPr="00E87E3F" w:rsidRDefault="00E87E3F" w:rsidP="00E87E3F">
      <w:pPr>
        <w:spacing w:after="0" w:line="240" w:lineRule="auto"/>
        <w:rPr>
          <w:b/>
        </w:rPr>
      </w:pPr>
      <w:r>
        <w:t>Representante a la Cámara</w:t>
      </w:r>
    </w:p>
    <w:sectPr w:rsidR="00E87E3F" w:rsidRPr="00E87E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FHUIW+TimesNewRomanPS-BoldM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3F"/>
    <w:rsid w:val="002B21A4"/>
    <w:rsid w:val="004A1D90"/>
    <w:rsid w:val="004F7E86"/>
    <w:rsid w:val="00567D04"/>
    <w:rsid w:val="005F5E3A"/>
    <w:rsid w:val="006355F4"/>
    <w:rsid w:val="007C4AE9"/>
    <w:rsid w:val="009279DD"/>
    <w:rsid w:val="00B24F84"/>
    <w:rsid w:val="00BC2D5F"/>
    <w:rsid w:val="00E671D0"/>
    <w:rsid w:val="00E87E3F"/>
    <w:rsid w:val="00FA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AF9A1E0-DE23-46C2-97D2-BC0C65EE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7E3F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87E3F"/>
    <w:pPr>
      <w:autoSpaceDE w:val="0"/>
      <w:autoSpaceDN w:val="0"/>
      <w:adjustRightInd w:val="0"/>
      <w:spacing w:after="0" w:line="240" w:lineRule="auto"/>
    </w:pPr>
    <w:rPr>
      <w:rFonts w:ascii="BFHUIW+TimesNewRomanPS-BoldMT" w:hAnsi="BFHUIW+TimesNewRomanPS-BoldMT" w:cs="BFHUIW+TimesNewRomanPS-BoldMT"/>
      <w:color w:val="000000"/>
      <w:sz w:val="24"/>
      <w:szCs w:val="24"/>
      <w:lang w:val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B24F84"/>
    <w:pPr>
      <w:spacing w:line="240" w:lineRule="auto"/>
    </w:pPr>
    <w:rPr>
      <w:sz w:val="20"/>
      <w:szCs w:val="20"/>
      <w:lang w:val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24F84"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Equipo</dc:creator>
  <cp:lastModifiedBy>Paola Santos</cp:lastModifiedBy>
  <cp:revision>2</cp:revision>
  <dcterms:created xsi:type="dcterms:W3CDTF">2020-05-04T19:02:00Z</dcterms:created>
  <dcterms:modified xsi:type="dcterms:W3CDTF">2020-05-04T19:02:00Z</dcterms:modified>
</cp:coreProperties>
</file>